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7E0AE" w14:textId="7B5DA81A" w:rsidR="00954F62" w:rsidRDefault="00000000" w:rsidP="00BF5844">
      <w:pPr>
        <w:pStyle w:val="Heading1"/>
        <w:bidi/>
      </w:pPr>
      <w:r>
        <w:t xml:space="preserve">اساسنامه صندوق قرض‌الحسنه چندشعبه‌ای </w:t>
      </w:r>
    </w:p>
    <w:p w14:paraId="2AD33F57" w14:textId="1E4454EF" w:rsidR="00954F62" w:rsidRDefault="00000000" w:rsidP="00BF5844">
      <w:pPr>
        <w:bidi/>
      </w:pPr>
      <w:r>
        <w:br/>
        <w:t>این اساسنامه به منظور تنظیم روابط حقوقی، مالی و اجرایی صندوق قرض‌الحسنه چندشعبه‌ای و بر اساس مفاد قوانین و مقررات مربوط به مؤسسات غیرانتفاعی</w:t>
      </w:r>
      <w:r w:rsidR="00BF5844">
        <w:rPr>
          <w:rFonts w:hint="cs"/>
          <w:rtl/>
        </w:rPr>
        <w:t xml:space="preserve">، </w:t>
      </w:r>
      <w:r>
        <w:t>دستورالعمل بانک مرکزی جمهوری اسلامی ایران و مصوبات وزارت تعاون، کار و رفاه اجتماعی تدوین گردیده است</w:t>
      </w:r>
      <w:r w:rsidR="00BF5844">
        <w:rPr>
          <w:rFonts w:hint="cs"/>
          <w:rtl/>
        </w:rPr>
        <w:t>.</w:t>
      </w:r>
      <w:r>
        <w:br/>
      </w:r>
      <w:r w:rsidR="00BF5844">
        <w:rPr>
          <w:rFonts w:hint="cs"/>
          <w:rtl/>
        </w:rPr>
        <w:t>(</w:t>
      </w:r>
      <w:r>
        <w:t>در صورت تطبیق با صندوق دارای مجوز قبلی، مفاد این اساسنامه می‌تواند بر اساس سوابق و تأیید نهاد ناظر تعدیل گردد</w:t>
      </w:r>
      <w:r w:rsidR="00BF5844">
        <w:rPr>
          <w:rFonts w:hint="cs"/>
          <w:rtl/>
        </w:rPr>
        <w:t>.)</w:t>
      </w:r>
      <w:r>
        <w:br/>
      </w:r>
    </w:p>
    <w:p w14:paraId="0531B511" w14:textId="77777777" w:rsidR="00954F62" w:rsidRDefault="00000000" w:rsidP="00BF5844">
      <w:pPr>
        <w:pStyle w:val="Heading2"/>
        <w:bidi/>
      </w:pPr>
      <w:r>
        <w:t>فصل اول: کلیات و تعاریف</w:t>
      </w:r>
    </w:p>
    <w:p w14:paraId="5095CDCE" w14:textId="3286AF83" w:rsidR="00BF5844" w:rsidRDefault="00000000" w:rsidP="00BF5844">
      <w:pPr>
        <w:pStyle w:val="ListParagraph"/>
        <w:numPr>
          <w:ilvl w:val="0"/>
          <w:numId w:val="11"/>
        </w:numPr>
        <w:bidi/>
      </w:pPr>
      <w:r>
        <w:t>نام مؤسسه</w:t>
      </w:r>
      <w:r w:rsidR="00BF5844">
        <w:rPr>
          <w:rFonts w:hint="cs"/>
          <w:rtl/>
        </w:rPr>
        <w:t xml:space="preserve">: </w:t>
      </w:r>
      <w:r>
        <w:t>صندوق قرض‌الحسنه چندشعبه‌ای</w:t>
      </w:r>
      <w:r w:rsidR="00BF5844">
        <w:rPr>
          <w:rFonts w:hint="cs"/>
          <w:rtl/>
        </w:rPr>
        <w:t xml:space="preserve"> </w:t>
      </w:r>
      <w:r>
        <w:t xml:space="preserve"> </w:t>
      </w:r>
      <w:r w:rsidR="00BF5844">
        <w:rPr>
          <w:rFonts w:hint="cs"/>
          <w:rtl/>
        </w:rPr>
        <w:t>(</w:t>
      </w:r>
      <w:r>
        <w:t>نام پیشنهادی مؤسسان</w:t>
      </w:r>
      <w:r w:rsidR="00BF5844">
        <w:rPr>
          <w:rFonts w:hint="cs"/>
          <w:rtl/>
        </w:rPr>
        <w:t>)</w:t>
      </w:r>
    </w:p>
    <w:p w14:paraId="4C0700B6" w14:textId="7407F6D3" w:rsidR="00BF5844" w:rsidRDefault="00000000" w:rsidP="00BF5844">
      <w:pPr>
        <w:pStyle w:val="ListParagraph"/>
        <w:numPr>
          <w:ilvl w:val="0"/>
          <w:numId w:val="11"/>
        </w:numPr>
        <w:bidi/>
      </w:pPr>
      <w:r>
        <w:t>نوع شخصیت حقوقی</w:t>
      </w:r>
      <w:r w:rsidR="00BF5844">
        <w:rPr>
          <w:rFonts w:hint="cs"/>
          <w:rtl/>
        </w:rPr>
        <w:t xml:space="preserve">: </w:t>
      </w:r>
      <w:r>
        <w:t>مؤسسه غیرانتفاعی با ماهیت عام‌المنفعه</w:t>
      </w:r>
    </w:p>
    <w:p w14:paraId="4C590F18" w14:textId="7094EC5E" w:rsidR="00BF5844" w:rsidRDefault="00000000" w:rsidP="00BF5844">
      <w:pPr>
        <w:pStyle w:val="ListParagraph"/>
        <w:numPr>
          <w:ilvl w:val="0"/>
          <w:numId w:val="11"/>
        </w:numPr>
        <w:bidi/>
      </w:pPr>
      <w:r>
        <w:t>مدت فعالیت</w:t>
      </w:r>
      <w:r w:rsidR="00BF5844">
        <w:rPr>
          <w:rFonts w:hint="cs"/>
          <w:rtl/>
        </w:rPr>
        <w:t xml:space="preserve">: </w:t>
      </w:r>
      <w:r>
        <w:t>نامحدود از تاریخ ثبت رسمی</w:t>
      </w:r>
    </w:p>
    <w:p w14:paraId="45748032" w14:textId="33D6A108" w:rsidR="00BF5844" w:rsidRDefault="00000000" w:rsidP="00BF5844">
      <w:pPr>
        <w:pStyle w:val="ListParagraph"/>
        <w:numPr>
          <w:ilvl w:val="0"/>
          <w:numId w:val="11"/>
        </w:numPr>
        <w:bidi/>
      </w:pPr>
      <w:r>
        <w:t>تابعیت</w:t>
      </w:r>
      <w:r w:rsidR="00BF5844">
        <w:rPr>
          <w:rFonts w:hint="cs"/>
          <w:rtl/>
        </w:rPr>
        <w:t xml:space="preserve">: </w:t>
      </w:r>
      <w:r>
        <w:t>جمهوری اسلامی ایران</w:t>
      </w:r>
    </w:p>
    <w:p w14:paraId="03763926" w14:textId="6361A3D2" w:rsidR="00BF5844" w:rsidRDefault="00000000" w:rsidP="00BF5844">
      <w:pPr>
        <w:pStyle w:val="ListParagraph"/>
        <w:numPr>
          <w:ilvl w:val="0"/>
          <w:numId w:val="11"/>
        </w:numPr>
        <w:bidi/>
      </w:pPr>
      <w:r>
        <w:t>مرکز اصلی</w:t>
      </w:r>
      <w:r w:rsidR="00BF5844">
        <w:rPr>
          <w:rFonts w:hint="cs"/>
          <w:rtl/>
        </w:rPr>
        <w:t xml:space="preserve">: </w:t>
      </w:r>
      <w:r>
        <w:t xml:space="preserve"> شهر </w:t>
      </w:r>
      <w:r w:rsidR="00BF5844">
        <w:rPr>
          <w:rFonts w:hint="cs"/>
          <w:rtl/>
        </w:rPr>
        <w:t xml:space="preserve">..... </w:t>
      </w:r>
      <w:r>
        <w:t>و دارای مجوز ایجاد شعب در استان‌های مختلف کشور</w:t>
      </w:r>
    </w:p>
    <w:p w14:paraId="5EFBF317" w14:textId="2166E545" w:rsidR="00954F62" w:rsidRDefault="00000000" w:rsidP="00BF5844">
      <w:pPr>
        <w:pStyle w:val="ListParagraph"/>
        <w:numPr>
          <w:ilvl w:val="0"/>
          <w:numId w:val="11"/>
        </w:numPr>
        <w:bidi/>
      </w:pPr>
      <w:r>
        <w:t>هدف اصلی</w:t>
      </w:r>
      <w:r w:rsidR="00BF5844">
        <w:rPr>
          <w:rFonts w:hint="cs"/>
          <w:rtl/>
        </w:rPr>
        <w:t xml:space="preserve">: </w:t>
      </w:r>
      <w:r>
        <w:t>ترویج فرهنگ قرض‌الحسنه و تأمین نیازهای مالی اعضا بر اساس موازین شرع مقدس اسلام</w:t>
      </w:r>
      <w:r w:rsidR="00BF5844">
        <w:rPr>
          <w:rFonts w:hint="cs"/>
          <w:rtl/>
        </w:rPr>
        <w:t>.</w:t>
      </w:r>
      <w:r>
        <w:br/>
      </w:r>
    </w:p>
    <w:p w14:paraId="02A98FC0" w14:textId="77777777" w:rsidR="00954F62" w:rsidRDefault="00000000" w:rsidP="00BF5844">
      <w:pPr>
        <w:pStyle w:val="Heading2"/>
        <w:bidi/>
      </w:pPr>
      <w:r>
        <w:t>فصل دوم: اهداف و موضوع فعالیت</w:t>
      </w:r>
    </w:p>
    <w:p w14:paraId="16467A8C" w14:textId="77777777" w:rsidR="00BF5844" w:rsidRDefault="00000000" w:rsidP="00BF5844">
      <w:pPr>
        <w:bidi/>
        <w:rPr>
          <w:rtl/>
        </w:rPr>
      </w:pPr>
      <w:r>
        <w:br/>
        <w:t>اهداف صندوق عبارتند از</w:t>
      </w:r>
      <w:r w:rsidR="00BF5844">
        <w:rPr>
          <w:rFonts w:hint="cs"/>
          <w:rtl/>
        </w:rPr>
        <w:t>:</w:t>
      </w:r>
    </w:p>
    <w:p w14:paraId="3F4896A3" w14:textId="35AFE94B" w:rsidR="00BF5844" w:rsidRDefault="00000000" w:rsidP="00BF5844">
      <w:pPr>
        <w:pStyle w:val="ListParagraph"/>
        <w:numPr>
          <w:ilvl w:val="0"/>
          <w:numId w:val="13"/>
        </w:numPr>
        <w:bidi/>
      </w:pPr>
      <w:r>
        <w:t>کمک به رفع نیازهای مالی اعضا از طریق اعطای وام قرض‌الحسنه؛</w:t>
      </w:r>
    </w:p>
    <w:p w14:paraId="2F4D0DDD" w14:textId="3A7F0978" w:rsidR="00BF5844" w:rsidRDefault="00000000" w:rsidP="00BF5844">
      <w:pPr>
        <w:pStyle w:val="ListParagraph"/>
        <w:numPr>
          <w:ilvl w:val="0"/>
          <w:numId w:val="13"/>
        </w:numPr>
        <w:bidi/>
      </w:pPr>
      <w:r>
        <w:t>جمع‌آوری منابع مالی از اعضا و خیرین؛</w:t>
      </w:r>
    </w:p>
    <w:p w14:paraId="06D5287D" w14:textId="3895A6BB" w:rsidR="00BF5844" w:rsidRDefault="00000000" w:rsidP="00BF5844">
      <w:pPr>
        <w:pStyle w:val="ListParagraph"/>
        <w:numPr>
          <w:ilvl w:val="0"/>
          <w:numId w:val="13"/>
        </w:numPr>
        <w:bidi/>
      </w:pPr>
      <w:r>
        <w:t>حمایت از فعالیت‌های اشتغال‌زایی و ازدواج جوانان؛</w:t>
      </w:r>
    </w:p>
    <w:p w14:paraId="3DFC7CC9" w14:textId="3A19B22D" w:rsidR="00954F62" w:rsidRDefault="00000000" w:rsidP="00BF5844">
      <w:pPr>
        <w:pStyle w:val="ListParagraph"/>
        <w:numPr>
          <w:ilvl w:val="0"/>
          <w:numId w:val="13"/>
        </w:numPr>
        <w:bidi/>
      </w:pPr>
      <w:r>
        <w:t>امکان فعالیت چندشعبه‌ای در سطح استان‌ها و شهرستان‌ها با رعایت مقررات نهادهای ناظر</w:t>
      </w:r>
      <w:r w:rsidR="00BF5844">
        <w:rPr>
          <w:rFonts w:hint="cs"/>
          <w:rtl/>
        </w:rPr>
        <w:t>.</w:t>
      </w:r>
      <w:r>
        <w:br/>
      </w:r>
    </w:p>
    <w:p w14:paraId="1A4C022B" w14:textId="77777777" w:rsidR="00954F62" w:rsidRDefault="00000000" w:rsidP="00BF5844">
      <w:pPr>
        <w:pStyle w:val="Heading2"/>
        <w:bidi/>
      </w:pPr>
      <w:r>
        <w:lastRenderedPageBreak/>
        <w:t>فصل سوم: ارکان صندوق</w:t>
      </w:r>
    </w:p>
    <w:p w14:paraId="7BC0324A" w14:textId="77777777" w:rsidR="00BF5844" w:rsidRDefault="00000000" w:rsidP="00BF5844">
      <w:pPr>
        <w:bidi/>
        <w:rPr>
          <w:rtl/>
        </w:rPr>
      </w:pPr>
      <w:r>
        <w:br/>
        <w:t>ارکان صندوق شامل موارد زیر است</w:t>
      </w:r>
      <w:r w:rsidR="00BF5844">
        <w:rPr>
          <w:rFonts w:hint="cs"/>
          <w:rtl/>
        </w:rPr>
        <w:t>:</w:t>
      </w:r>
    </w:p>
    <w:p w14:paraId="786DB81F" w14:textId="58495959" w:rsidR="00BF5844" w:rsidRDefault="00000000" w:rsidP="00BF5844">
      <w:pPr>
        <w:pStyle w:val="ListParagraph"/>
        <w:numPr>
          <w:ilvl w:val="0"/>
          <w:numId w:val="14"/>
        </w:numPr>
        <w:bidi/>
      </w:pPr>
      <w:r>
        <w:t>مجمع عمومی</w:t>
      </w:r>
    </w:p>
    <w:p w14:paraId="63A48B30" w14:textId="0D60ACED" w:rsidR="00BF5844" w:rsidRDefault="00000000" w:rsidP="00BF5844">
      <w:pPr>
        <w:pStyle w:val="ListParagraph"/>
        <w:numPr>
          <w:ilvl w:val="0"/>
          <w:numId w:val="14"/>
        </w:numPr>
        <w:bidi/>
      </w:pPr>
      <w:r>
        <w:t>هیئت امنا</w:t>
      </w:r>
    </w:p>
    <w:p w14:paraId="5A948C24" w14:textId="3C7D9847" w:rsidR="00BF5844" w:rsidRDefault="00000000" w:rsidP="00BF5844">
      <w:pPr>
        <w:pStyle w:val="ListParagraph"/>
        <w:numPr>
          <w:ilvl w:val="0"/>
          <w:numId w:val="14"/>
        </w:numPr>
        <w:bidi/>
      </w:pPr>
      <w:r>
        <w:t>هیئت مدیره</w:t>
      </w:r>
    </w:p>
    <w:p w14:paraId="64055AE9" w14:textId="3947AA65" w:rsidR="00BF5844" w:rsidRDefault="00000000" w:rsidP="00BF5844">
      <w:pPr>
        <w:pStyle w:val="ListParagraph"/>
        <w:numPr>
          <w:ilvl w:val="0"/>
          <w:numId w:val="14"/>
        </w:numPr>
        <w:bidi/>
      </w:pPr>
      <w:r>
        <w:t>مدیرعامل</w:t>
      </w:r>
    </w:p>
    <w:p w14:paraId="70FBD940" w14:textId="0FD11AFF" w:rsidR="00954F62" w:rsidRDefault="00000000" w:rsidP="00BF5844">
      <w:pPr>
        <w:pStyle w:val="ListParagraph"/>
        <w:numPr>
          <w:ilvl w:val="0"/>
          <w:numId w:val="14"/>
        </w:numPr>
        <w:bidi/>
      </w:pPr>
      <w:r>
        <w:t>بازرس یا هیئت بازرسان</w:t>
      </w:r>
      <w:r>
        <w:br/>
      </w:r>
    </w:p>
    <w:p w14:paraId="08CA5DD8" w14:textId="77777777" w:rsidR="00954F62" w:rsidRDefault="00000000" w:rsidP="00BF5844">
      <w:pPr>
        <w:pStyle w:val="Heading2"/>
        <w:bidi/>
      </w:pPr>
      <w:r>
        <w:t>فصل چهارم: عضویت، سرمایه و حقوق اعضا</w:t>
      </w:r>
    </w:p>
    <w:p w14:paraId="724809A1" w14:textId="2E58C527" w:rsidR="00BF5844" w:rsidRDefault="00000000" w:rsidP="00BF5844">
      <w:pPr>
        <w:pStyle w:val="ListParagraph"/>
        <w:numPr>
          <w:ilvl w:val="0"/>
          <w:numId w:val="15"/>
        </w:numPr>
        <w:bidi/>
        <w:rPr>
          <w:rtl/>
        </w:rPr>
      </w:pPr>
      <w:r>
        <w:t>عضویت در صندوق برای کلیه افراد حقیقی و حقوقی واجد شرایط ممکن است</w:t>
      </w:r>
      <w:r w:rsidR="00BF5844">
        <w:rPr>
          <w:rFonts w:hint="cs"/>
          <w:rtl/>
        </w:rPr>
        <w:t>.</w:t>
      </w:r>
    </w:p>
    <w:p w14:paraId="1C6DB7AC" w14:textId="382C066B" w:rsidR="00BF5844" w:rsidRDefault="00000000" w:rsidP="00BF5844">
      <w:pPr>
        <w:pStyle w:val="ListParagraph"/>
        <w:numPr>
          <w:ilvl w:val="0"/>
          <w:numId w:val="15"/>
        </w:numPr>
        <w:bidi/>
      </w:pPr>
      <w:r>
        <w:t>هر عضو موظف به پرداخت سهم‌الشرکه اولیه و رعایت مفاد اساسنامه است</w:t>
      </w:r>
      <w:r w:rsidR="00BF5844">
        <w:rPr>
          <w:rFonts w:hint="cs"/>
          <w:rtl/>
        </w:rPr>
        <w:t>.</w:t>
      </w:r>
    </w:p>
    <w:p w14:paraId="567EE908" w14:textId="1E902F27" w:rsidR="00954F62" w:rsidRDefault="00000000" w:rsidP="00BF5844">
      <w:pPr>
        <w:pStyle w:val="ListParagraph"/>
        <w:numPr>
          <w:ilvl w:val="0"/>
          <w:numId w:val="15"/>
        </w:numPr>
        <w:bidi/>
      </w:pPr>
      <w:r>
        <w:t>اعضا حق رأی برابر در مجامع عمومی دارند مگر در اساسنامه خلاف آن تصریح شده باشد</w:t>
      </w:r>
      <w:r w:rsidR="00BF5844">
        <w:rPr>
          <w:rFonts w:hint="cs"/>
          <w:rtl/>
        </w:rPr>
        <w:t>.</w:t>
      </w:r>
      <w:r>
        <w:br/>
      </w:r>
    </w:p>
    <w:p w14:paraId="5DBEAF45" w14:textId="77777777" w:rsidR="00954F62" w:rsidRDefault="00000000" w:rsidP="00BF5844">
      <w:pPr>
        <w:pStyle w:val="Heading2"/>
        <w:bidi/>
      </w:pPr>
      <w:r>
        <w:t>فصل پنجم: منابع مالی و نحوه هزینه‌کرد</w:t>
      </w:r>
    </w:p>
    <w:p w14:paraId="57D6717B" w14:textId="77777777" w:rsidR="00BF5844" w:rsidRDefault="00000000" w:rsidP="00BF5844">
      <w:pPr>
        <w:bidi/>
        <w:rPr>
          <w:rtl/>
        </w:rPr>
      </w:pPr>
      <w:r>
        <w:br/>
        <w:t>منابع مالی صندوق عبارتند از</w:t>
      </w:r>
      <w:r w:rsidR="00BF5844">
        <w:rPr>
          <w:rFonts w:hint="cs"/>
          <w:rtl/>
        </w:rPr>
        <w:t>:</w:t>
      </w:r>
    </w:p>
    <w:p w14:paraId="6E44B218" w14:textId="478BB5A3" w:rsidR="00BF5844" w:rsidRDefault="00000000" w:rsidP="00BF5844">
      <w:pPr>
        <w:pStyle w:val="ListParagraph"/>
        <w:numPr>
          <w:ilvl w:val="0"/>
          <w:numId w:val="16"/>
        </w:numPr>
        <w:bidi/>
      </w:pPr>
      <w:r>
        <w:t>آورده‌های نقدی و غیرنقدی اعضا؛</w:t>
      </w:r>
    </w:p>
    <w:p w14:paraId="7D020D6E" w14:textId="3E4065BC" w:rsidR="00BF5844" w:rsidRDefault="00000000" w:rsidP="00BF5844">
      <w:pPr>
        <w:pStyle w:val="ListParagraph"/>
        <w:numPr>
          <w:ilvl w:val="0"/>
          <w:numId w:val="16"/>
        </w:numPr>
        <w:bidi/>
      </w:pPr>
      <w:r>
        <w:t>وجوه حاصل از بازپرداخت تسهیلات؛</w:t>
      </w:r>
    </w:p>
    <w:p w14:paraId="32973BBB" w14:textId="2DBBE956" w:rsidR="00BF5844" w:rsidRDefault="00000000" w:rsidP="00BF5844">
      <w:pPr>
        <w:pStyle w:val="ListParagraph"/>
        <w:numPr>
          <w:ilvl w:val="0"/>
          <w:numId w:val="16"/>
        </w:numPr>
        <w:bidi/>
      </w:pPr>
      <w:r>
        <w:t>کمک‌های بلاعوض خیرین؛</w:t>
      </w:r>
    </w:p>
    <w:p w14:paraId="6F5868DD" w14:textId="1CF3563F" w:rsidR="00BF5844" w:rsidRDefault="00000000" w:rsidP="00BF5844">
      <w:pPr>
        <w:pStyle w:val="ListParagraph"/>
        <w:numPr>
          <w:ilvl w:val="0"/>
          <w:numId w:val="16"/>
        </w:numPr>
        <w:bidi/>
      </w:pPr>
      <w:r>
        <w:t>درآمدهای مجاز از محل فعالیت‌های فرهنگی یا اجتماعی</w:t>
      </w:r>
      <w:r w:rsidR="00BF5844">
        <w:rPr>
          <w:rFonts w:hint="cs"/>
          <w:rtl/>
        </w:rPr>
        <w:t>.</w:t>
      </w:r>
    </w:p>
    <w:p w14:paraId="7756E253" w14:textId="6EDB54FD" w:rsidR="00954F62" w:rsidRDefault="00000000" w:rsidP="00BF5844">
      <w:pPr>
        <w:pStyle w:val="ListParagraph"/>
        <w:numPr>
          <w:ilvl w:val="0"/>
          <w:numId w:val="16"/>
        </w:numPr>
        <w:bidi/>
      </w:pPr>
      <w:r>
        <w:t>هزینه‌کرد وجوه صندوق صرفاً در چارچوب اهداف قرض‌الحسنه مجاز است</w:t>
      </w:r>
      <w:r w:rsidR="00BF5844">
        <w:rPr>
          <w:rFonts w:hint="cs"/>
          <w:rtl/>
        </w:rPr>
        <w:t>.</w:t>
      </w:r>
      <w:r>
        <w:br/>
      </w:r>
    </w:p>
    <w:p w14:paraId="5B357872" w14:textId="77777777" w:rsidR="00954F62" w:rsidRDefault="00000000" w:rsidP="00BF5844">
      <w:pPr>
        <w:pStyle w:val="Heading2"/>
        <w:bidi/>
      </w:pPr>
      <w:r>
        <w:t>فصل ششم: شعب و نمایندگی‌ها</w:t>
      </w:r>
    </w:p>
    <w:p w14:paraId="2D5A95A4" w14:textId="7D2D7FBE" w:rsidR="00954F62" w:rsidRDefault="00000000" w:rsidP="00BF5844">
      <w:pPr>
        <w:bidi/>
      </w:pPr>
      <w:r>
        <w:br/>
        <w:t>صندوق می‌تواند در استان‌ها و شهرستان‌های مختلف کشور نسبت به تأسیس شعب یا نمایندگی اقدام نماید</w:t>
      </w:r>
      <w:r w:rsidR="00BF5844">
        <w:rPr>
          <w:rFonts w:hint="cs"/>
          <w:rtl/>
        </w:rPr>
        <w:t>.</w:t>
      </w:r>
      <w:r>
        <w:br/>
      </w:r>
      <w:r>
        <w:lastRenderedPageBreak/>
        <w:t>نحوه تأسیس و مدیریت شعب تابع آیین‌نامه مصوب هیئت مدیره است</w:t>
      </w:r>
      <w:r w:rsidR="00BF5844">
        <w:rPr>
          <w:rFonts w:hint="cs"/>
          <w:rtl/>
        </w:rPr>
        <w:t>.</w:t>
      </w:r>
      <w:r>
        <w:br/>
      </w:r>
      <w:r w:rsidR="00BF5844">
        <w:rPr>
          <w:rFonts w:hint="cs"/>
          <w:rtl/>
        </w:rPr>
        <w:t>(</w:t>
      </w:r>
      <w:r>
        <w:t>در صندوق‌های در حال تطبیق، اطلاعات شعب قبلی باید جهت تأیید به نهاد ناظر ارسال گردد</w:t>
      </w:r>
      <w:r w:rsidR="00BF5844">
        <w:rPr>
          <w:rFonts w:hint="cs"/>
          <w:rtl/>
        </w:rPr>
        <w:t>.)</w:t>
      </w:r>
      <w:r>
        <w:br/>
      </w:r>
    </w:p>
    <w:p w14:paraId="072B8175" w14:textId="77777777" w:rsidR="00954F62" w:rsidRDefault="00000000" w:rsidP="00BF5844">
      <w:pPr>
        <w:pStyle w:val="Heading2"/>
        <w:bidi/>
      </w:pPr>
      <w:r>
        <w:t>فصل هفتم: آیین‌نامه اجرایی داخلی</w:t>
      </w:r>
    </w:p>
    <w:p w14:paraId="27B8592E" w14:textId="77777777" w:rsidR="00BF5844" w:rsidRDefault="00000000" w:rsidP="00BF5844">
      <w:pPr>
        <w:bidi/>
        <w:rPr>
          <w:rtl/>
        </w:rPr>
      </w:pPr>
      <w:r>
        <w:br/>
        <w:t>نحوه اعطای وام</w:t>
      </w:r>
      <w:r w:rsidR="00BF5844">
        <w:rPr>
          <w:rFonts w:hint="cs"/>
          <w:rtl/>
        </w:rPr>
        <w:t>:</w:t>
      </w:r>
    </w:p>
    <w:p w14:paraId="1408200E" w14:textId="01E6287F" w:rsidR="00BF5844" w:rsidRDefault="00000000" w:rsidP="00BF5844">
      <w:pPr>
        <w:pStyle w:val="ListParagraph"/>
        <w:numPr>
          <w:ilvl w:val="0"/>
          <w:numId w:val="17"/>
        </w:numPr>
        <w:bidi/>
      </w:pPr>
      <w:r>
        <w:t>تکمیل فرم درخواست وام توسط متقاضی</w:t>
      </w:r>
    </w:p>
    <w:p w14:paraId="3E46E567" w14:textId="5BEBD8B9" w:rsidR="00BF5844" w:rsidRDefault="00000000" w:rsidP="00BF5844">
      <w:pPr>
        <w:pStyle w:val="ListParagraph"/>
        <w:numPr>
          <w:ilvl w:val="0"/>
          <w:numId w:val="17"/>
        </w:numPr>
        <w:bidi/>
      </w:pPr>
      <w:r>
        <w:t>بررسی صلاحیت متقاضی و ضامنین توسط کمیته اعتبارات</w:t>
      </w:r>
    </w:p>
    <w:p w14:paraId="405B1739" w14:textId="44BE8472" w:rsidR="00BF5844" w:rsidRDefault="00000000" w:rsidP="00BF5844">
      <w:pPr>
        <w:pStyle w:val="ListParagraph"/>
        <w:numPr>
          <w:ilvl w:val="0"/>
          <w:numId w:val="17"/>
        </w:numPr>
        <w:bidi/>
      </w:pPr>
      <w:r>
        <w:t>تصویب در هیئت مدیره</w:t>
      </w:r>
    </w:p>
    <w:p w14:paraId="113BF8A5" w14:textId="75AC4A34" w:rsidR="00BF5844" w:rsidRDefault="00000000" w:rsidP="00BF5844">
      <w:pPr>
        <w:pStyle w:val="ListParagraph"/>
        <w:numPr>
          <w:ilvl w:val="0"/>
          <w:numId w:val="17"/>
        </w:numPr>
        <w:bidi/>
      </w:pPr>
      <w:r>
        <w:t>پرداخت از حساب صندوق و ثبت در نرم‌افزار قرض‌الحسنه</w:t>
      </w:r>
    </w:p>
    <w:p w14:paraId="2B1226EB" w14:textId="6DA7A454" w:rsidR="00954F62" w:rsidRDefault="00000000" w:rsidP="00BF5844">
      <w:pPr>
        <w:pStyle w:val="ListParagraph"/>
        <w:numPr>
          <w:ilvl w:val="0"/>
          <w:numId w:val="17"/>
        </w:numPr>
        <w:bidi/>
      </w:pPr>
      <w:r>
        <w:t>بازپرداخت اقساط طبق قرارداد</w:t>
      </w:r>
      <w:r>
        <w:br/>
      </w:r>
      <w:r>
        <w:br/>
        <w:t>نرم‌افزار صندوق باید دارای امکان مدیریت اعضا، وام‌ها، گزارش‌گیری و کنترل موجودی‌ها باشد</w:t>
      </w:r>
      <w:r>
        <w:br/>
      </w:r>
    </w:p>
    <w:p w14:paraId="726BCECC" w14:textId="77777777" w:rsidR="00954F62" w:rsidRDefault="00000000" w:rsidP="00BF5844">
      <w:pPr>
        <w:pStyle w:val="Heading2"/>
        <w:bidi/>
      </w:pPr>
      <w:r>
        <w:t>فصل هشتم: مقررات مالی و حسابداری</w:t>
      </w:r>
    </w:p>
    <w:p w14:paraId="2CE9689D" w14:textId="3E4927AB" w:rsidR="00954F62" w:rsidRDefault="00000000" w:rsidP="00BF5844">
      <w:pPr>
        <w:bidi/>
      </w:pPr>
      <w:r>
        <w:br/>
        <w:t>سال مالی صندوق از اول فروردین تا پایان اسفند هر سال است</w:t>
      </w:r>
      <w:r w:rsidR="00BF5844">
        <w:rPr>
          <w:rFonts w:hint="cs"/>
          <w:rtl/>
        </w:rPr>
        <w:t>.</w:t>
      </w:r>
      <w:r>
        <w:br/>
        <w:t>صورت‌های مالی شامل ترازنامه، صورت سود و زیان و گزارش عملکرد سالانه است</w:t>
      </w:r>
      <w:r w:rsidR="00BF5844">
        <w:rPr>
          <w:rFonts w:hint="cs"/>
          <w:rtl/>
        </w:rPr>
        <w:t>.</w:t>
      </w:r>
      <w:r>
        <w:br/>
        <w:t>کلیه حساب‌ها باید توسط حسابرس رسمی منتخب مجمع عمومی بررسی و تأیید شود</w:t>
      </w:r>
      <w:r w:rsidR="00BF5844">
        <w:rPr>
          <w:rFonts w:hint="cs"/>
          <w:rtl/>
        </w:rPr>
        <w:t>.</w:t>
      </w:r>
      <w:r>
        <w:br/>
      </w:r>
    </w:p>
    <w:p w14:paraId="115F164C" w14:textId="77777777" w:rsidR="00954F62" w:rsidRDefault="00000000" w:rsidP="00BF5844">
      <w:pPr>
        <w:pStyle w:val="Heading2"/>
        <w:bidi/>
      </w:pPr>
      <w:r>
        <w:t>فصل نهم: تغییرات، ادغام و انحلال</w:t>
      </w:r>
    </w:p>
    <w:p w14:paraId="07E70B20" w14:textId="7C6E19E0" w:rsidR="00954F62" w:rsidRDefault="00000000" w:rsidP="00BF5844">
      <w:pPr>
        <w:bidi/>
      </w:pPr>
      <w:r>
        <w:br/>
        <w:t>تغییر اساسنامه، ادغام یا انحلال صندوق منوط به تصویب مجمع عمومی فوق‌العاده و تأیید نهاد ناظر است</w:t>
      </w:r>
      <w:r w:rsidR="00BF5844">
        <w:rPr>
          <w:rFonts w:hint="cs"/>
          <w:rtl/>
        </w:rPr>
        <w:t>.</w:t>
      </w:r>
      <w:r>
        <w:br/>
        <w:t>در صورت انحلال، اموال و دارایی‌های صندوق پس از تسویه بدهی‌ها در امور عام‌المنفعه مصرف خواهد شد</w:t>
      </w:r>
      <w:r w:rsidR="00BF5844">
        <w:rPr>
          <w:rFonts w:hint="cs"/>
          <w:rtl/>
        </w:rPr>
        <w:t>.</w:t>
      </w:r>
      <w:r>
        <w:br/>
      </w:r>
    </w:p>
    <w:p w14:paraId="45A26FDD" w14:textId="77777777" w:rsidR="00954F62" w:rsidRDefault="00000000" w:rsidP="00BF5844">
      <w:pPr>
        <w:pStyle w:val="Heading2"/>
        <w:bidi/>
      </w:pPr>
      <w:r>
        <w:lastRenderedPageBreak/>
        <w:t>فصل دهم: سایر مقررات</w:t>
      </w:r>
    </w:p>
    <w:p w14:paraId="03AA55B1" w14:textId="0A447741" w:rsidR="00954F62" w:rsidRDefault="00000000" w:rsidP="00BF5844">
      <w:pPr>
        <w:bidi/>
      </w:pPr>
      <w:r>
        <w:br/>
        <w:t>در موارد سکوت این اساسنامه، مقررات قانون مدنی، قانون تجارت و آیین‌نامه‌های وزارت تعاون و بانک مرکزی حاکم است</w:t>
      </w:r>
      <w:r w:rsidR="00BF5844">
        <w:rPr>
          <w:rFonts w:hint="cs"/>
          <w:rtl/>
        </w:rPr>
        <w:t>.</w:t>
      </w:r>
      <w:r>
        <w:br/>
        <w:t>این اساسنامه در ۱۰ فصل تهیه و به تصویب مجمع مؤسس رسید</w:t>
      </w:r>
      <w:r w:rsidR="00BF5844">
        <w:rPr>
          <w:rFonts w:hint="cs"/>
          <w:rtl/>
        </w:rPr>
        <w:t>.</w:t>
      </w:r>
      <w:r>
        <w:br/>
      </w:r>
    </w:p>
    <w:sectPr w:rsidR="00954F6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8FF2003"/>
    <w:multiLevelType w:val="hybridMultilevel"/>
    <w:tmpl w:val="B0924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C4009"/>
    <w:multiLevelType w:val="hybridMultilevel"/>
    <w:tmpl w:val="A0B25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41D28"/>
    <w:multiLevelType w:val="hybridMultilevel"/>
    <w:tmpl w:val="96D4D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E0FD9"/>
    <w:multiLevelType w:val="hybridMultilevel"/>
    <w:tmpl w:val="41469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F0A19"/>
    <w:multiLevelType w:val="hybridMultilevel"/>
    <w:tmpl w:val="0A407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A37E4A"/>
    <w:multiLevelType w:val="hybridMultilevel"/>
    <w:tmpl w:val="64F8D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B1A30"/>
    <w:multiLevelType w:val="hybridMultilevel"/>
    <w:tmpl w:val="C8A01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A7507C"/>
    <w:multiLevelType w:val="hybridMultilevel"/>
    <w:tmpl w:val="C5B89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974848">
    <w:abstractNumId w:val="8"/>
  </w:num>
  <w:num w:numId="2" w16cid:durableId="1003321093">
    <w:abstractNumId w:val="6"/>
  </w:num>
  <w:num w:numId="3" w16cid:durableId="177621763">
    <w:abstractNumId w:val="5"/>
  </w:num>
  <w:num w:numId="4" w16cid:durableId="1001549144">
    <w:abstractNumId w:val="4"/>
  </w:num>
  <w:num w:numId="5" w16cid:durableId="1102914480">
    <w:abstractNumId w:val="7"/>
  </w:num>
  <w:num w:numId="6" w16cid:durableId="1603031730">
    <w:abstractNumId w:val="3"/>
  </w:num>
  <w:num w:numId="7" w16cid:durableId="1168055678">
    <w:abstractNumId w:val="2"/>
  </w:num>
  <w:num w:numId="8" w16cid:durableId="1990019298">
    <w:abstractNumId w:val="1"/>
  </w:num>
  <w:num w:numId="9" w16cid:durableId="1264461362">
    <w:abstractNumId w:val="0"/>
  </w:num>
  <w:num w:numId="10" w16cid:durableId="1700665444">
    <w:abstractNumId w:val="16"/>
  </w:num>
  <w:num w:numId="11" w16cid:durableId="402720930">
    <w:abstractNumId w:val="13"/>
  </w:num>
  <w:num w:numId="12" w16cid:durableId="202210482">
    <w:abstractNumId w:val="10"/>
  </w:num>
  <w:num w:numId="13" w16cid:durableId="879976118">
    <w:abstractNumId w:val="14"/>
  </w:num>
  <w:num w:numId="14" w16cid:durableId="272440391">
    <w:abstractNumId w:val="9"/>
  </w:num>
  <w:num w:numId="15" w16cid:durableId="1700662401">
    <w:abstractNumId w:val="15"/>
  </w:num>
  <w:num w:numId="16" w16cid:durableId="1341394224">
    <w:abstractNumId w:val="11"/>
  </w:num>
  <w:num w:numId="17" w16cid:durableId="6110879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F3F0B"/>
    <w:rsid w:val="00326F90"/>
    <w:rsid w:val="00386FA3"/>
    <w:rsid w:val="00954F62"/>
    <w:rsid w:val="00AA1D8D"/>
    <w:rsid w:val="00B47730"/>
    <w:rsid w:val="00BF584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؛"/>
  <w14:docId w14:val="3D2C22DA"/>
  <w14:defaultImageDpi w14:val="300"/>
  <w15:docId w15:val="{5E9F16A2-20F1-4FA1-83CB-D1346945B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B Nazanin" w:hAnsi="B Nazani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azzi taslim</cp:lastModifiedBy>
  <cp:revision>2</cp:revision>
  <dcterms:created xsi:type="dcterms:W3CDTF">2013-12-23T23:15:00Z</dcterms:created>
  <dcterms:modified xsi:type="dcterms:W3CDTF">2025-10-25T08:41:00Z</dcterms:modified>
  <cp:category/>
</cp:coreProperties>
</file>